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3A8C" w14:textId="0DC7D735" w:rsidR="00EE493D" w:rsidRPr="00EE493D" w:rsidRDefault="00EE493D" w:rsidP="00EE493D">
      <w:pPr>
        <w:shd w:val="clear" w:color="auto" w:fill="FFFFFF" w:themeFill="background1"/>
        <w:spacing w:after="0" w:line="900" w:lineRule="atLeast"/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val="nb-NO" w:eastAsia="nb-NO"/>
          <w14:ligatures w14:val="none"/>
        </w:rPr>
        <w:t xml:space="preserve">Kopiert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val="nb-NO" w:eastAsia="nb-NO"/>
          <w14:ligatures w14:val="none"/>
        </w:rPr>
        <w:t>frå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val="nb-NO" w:eastAsia="nb-NO"/>
          <w14:ligatures w14:val="none"/>
        </w:rPr>
        <w:t xml:space="preserve"> systemet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val="nb-NO" w:eastAsia="nb-NO"/>
          <w14:ligatures w14:val="none"/>
        </w:rPr>
        <w:t>Compilo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val="nb-NO" w:eastAsia="nb-NO"/>
          <w14:ligatures w14:val="none"/>
        </w:rPr>
        <w:t xml:space="preserve"> 14.02.2024</w:t>
      </w:r>
    </w:p>
    <w:p w14:paraId="2FA4AA4F" w14:textId="77777777" w:rsidR="00EE493D" w:rsidRPr="00EE493D" w:rsidRDefault="00EE493D" w:rsidP="00EE493D">
      <w:pPr>
        <w:shd w:val="clear" w:color="auto" w:fill="FFFFFF" w:themeFill="background1"/>
        <w:spacing w:after="0" w:line="900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nb-NO" w:eastAsia="nb-NO"/>
          <w14:ligatures w14:val="none"/>
        </w:rPr>
      </w:pPr>
    </w:p>
    <w:p w14:paraId="2E1C6F06" w14:textId="77777777" w:rsidR="00EE493D" w:rsidRPr="00EE493D" w:rsidRDefault="00EE493D" w:rsidP="00EE493D">
      <w:pPr>
        <w:rPr>
          <w:b/>
          <w:bCs/>
          <w:sz w:val="40"/>
          <w:szCs w:val="40"/>
          <w:lang w:val="nb-NO" w:eastAsia="nb-NO"/>
        </w:rPr>
      </w:pPr>
      <w:r w:rsidRPr="00EE493D">
        <w:rPr>
          <w:b/>
          <w:bCs/>
          <w:sz w:val="40"/>
          <w:szCs w:val="40"/>
          <w:lang w:val="nb-NO" w:eastAsia="nb-NO"/>
        </w:rPr>
        <w:t>DELEGASJON AV ADMINISTRATIV AVGJERDSMAKT</w:t>
      </w:r>
    </w:p>
    <w:p w14:paraId="13DBFD5E" w14:textId="77777777" w:rsidR="00EE493D" w:rsidRPr="00EE493D" w:rsidRDefault="00EE493D" w:rsidP="00EE493D">
      <w:pPr>
        <w:pBdr>
          <w:bottom w:val="single" w:sz="4" w:space="1" w:color="auto"/>
        </w:pBdr>
        <w:shd w:val="clear" w:color="auto" w:fill="FFFFFF" w:themeFill="background1"/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Tokke kommune</w:t>
      </w:r>
    </w:p>
    <w:p w14:paraId="7993BDD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33E7A26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Fastsett av kommunedirektøren 01.01.2024 Finn Arne Askje</w:t>
      </w:r>
    </w:p>
    <w:p w14:paraId="584DF81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4233B72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1 -1 Innleiing</w:t>
      </w:r>
    </w:p>
    <w:p w14:paraId="5505B4A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All avgjerdsmakt tillagt administrasjonen i 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 w:themeFill="background1"/>
          <w:lang w:val="nb-NO" w:eastAsia="nb-NO"/>
          <w14:ligatures w14:val="none"/>
        </w:rPr>
        <w:t xml:space="preserve">Tokke kommune, både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 w:themeFill="background1"/>
          <w:lang w:val="nb-NO" w:eastAsia="nb-NO"/>
          <w14:ligatures w14:val="none"/>
        </w:rPr>
        <w:t>gjeld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 w:themeFill="background1"/>
          <w:lang w:val="nb-NO" w:eastAsia="nb-NO"/>
          <w14:ligatures w14:val="none"/>
        </w:rPr>
        <w:t xml:space="preserve"> tilhøva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internt (eigne tilsette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m.v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.) og i saker der publikum direkte eller indirekte er part, vert utøvd på vegne av og på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delegera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mynde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frå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kommunestyret.</w:t>
      </w:r>
    </w:p>
    <w:p w14:paraId="56F1071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Dette reglement </w:t>
      </w:r>
      <w:proofErr w:type="gram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gjev føresegner</w:t>
      </w:r>
      <w:proofErr w:type="gram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for korleis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kommunedirektøren si avgjerdsmakt er ført over til kommunalsjef m.fl.</w:t>
      </w:r>
    </w:p>
    <w:p w14:paraId="77AA110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525C86F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1 - 2 Generelle føresegner</w:t>
      </w:r>
    </w:p>
    <w:p w14:paraId="42B3C0E0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Med kommunalsjef er det i dette reglement òg meint organisasjonssjef og økonomisjef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anna er sagt i den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einskilde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paragraf.</w:t>
      </w:r>
    </w:p>
    <w:p w14:paraId="04FB1BD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Når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kommunalsjef 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delegera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mynde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inneber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dette at det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daglege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ansvaret for dette saksfeltet ligg til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vedkomande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, på vegne av kommunedirektøren.</w:t>
      </w:r>
    </w:p>
    <w:p w14:paraId="3068692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Kapittel 1 i Tokke kommune sitt politiske delegasjonsreglement gjeld òg for administrative vedtak, her òg at avgjerdsmakta kan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førast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vidare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 underlagte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stillingar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eller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namngjevne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personar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30974A7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Fast delegering av avgjerdsmynde skal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skriftleg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3710D21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1B5940F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1 - 3 Klagehandsaming</w:t>
      </w:r>
    </w:p>
    <w:p w14:paraId="4A1DC71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Føresegner for klagehandsaming gjeng fram av forvaltningslova.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fleire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særlover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særlover er fylkesmannen klageinstans jf. det politiske delegasjonsreglementet §1-6.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Nedanfor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berre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nemnd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hovudreglane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korte trekk der kommunen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sjølv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klageorgan:</w:t>
      </w:r>
    </w:p>
    <w:p w14:paraId="736C10F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1.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Einskildvedtak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som gjeld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ålmenta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kan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hovudregel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klagast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over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gong. Kommunen skal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søkjar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merksam på retten til å klage når søknaden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imøtekomen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fullt ut.</w:t>
      </w:r>
    </w:p>
    <w:p w14:paraId="13D338A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2. Vedtak kan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om til både til ulempe og til bate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søkjar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når kommunalsjef finn at det har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kome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fram nye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opplysningar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saka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utan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omsyn til om det ligg føre ei klage eller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. Høvet til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omgjering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blir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meir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komplisera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når det 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fleire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partar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med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motstridande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interesser i ei sak – søk råd.</w:t>
      </w:r>
    </w:p>
    <w:p w14:paraId="2932558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Omgjering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vedtak til ulempe for den det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kan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berre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finne stad med heimel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særlege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vilkår fastsett i lova.</w:t>
      </w:r>
    </w:p>
    <w:p w14:paraId="0B0838F2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3. Held kommunalsjef fast på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tidlegare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vert klaga lagt fram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hovudutval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som kan stadfeste, eller heilt eller delvis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omgjere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vedtaket som overordna organ. Dette er del av kommunen si handsaming i fyrste instans etter lova. Held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lastRenderedPageBreak/>
        <w:t>hovudutvalet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fast på det påklaga vedtaket vert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klagesaki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oversendt kommunedirektøren.</w:t>
      </w:r>
    </w:p>
    <w:p w14:paraId="557D5D0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4. Kommunale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tenestemenn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som har lagt til rette for vedtaket i fyrste instans (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vore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inne i vurderinga), er ugilde til å sakshandsame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klagesaki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for klageorganet (formannskapet eller kommunestyret).</w:t>
      </w:r>
    </w:p>
    <w:p w14:paraId="4566A97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5. Formannskapet er klageorgan for saker der kommunen er tillagt avgjerdsmynde. Kommunestyret i saker der formannskapet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som fyrste instans.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kommunen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delegera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mynde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frå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staten, er normalt fylkesmannen klageorgan.</w:t>
      </w:r>
    </w:p>
    <w:p w14:paraId="0E7FFE7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5F52ED7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0B6C7880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§ 2 </w:t>
      </w:r>
      <w:proofErr w:type="spellStart"/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Skriftlege</w:t>
      </w:r>
      <w:proofErr w:type="spellEnd"/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munnlege vedtak</w:t>
      </w:r>
    </w:p>
    <w:p w14:paraId="5B57758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All utøving av mynde er i prinsippet (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einskild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)vedtak, men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alle vedtak kan eller bør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skriftleg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4545A51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Fylgjande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generelle føresegner gjeld:</w:t>
      </w:r>
    </w:p>
    <w:p w14:paraId="1BDC7C9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-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skriftlege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søknadar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skal få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skriftleg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svar og/eller vedtak</w:t>
      </w:r>
    </w:p>
    <w:p w14:paraId="74A5718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- i saker der administrasjonen utøver mynde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lov, forskrift eller kommunalt vedtak og som gjeld publikum, skal vedtak/svar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hovudregel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skriftleg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jamvel om publikum har vendt seg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munnleg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 kommunen.</w:t>
      </w:r>
    </w:p>
    <w:p w14:paraId="0A00D70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- andre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løpande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avgjerder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munnleg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det er grunn til å tru at krav om dokumentasjon kan koma.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5D460DF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3 Generell delegering til kommunalsjef</w:t>
      </w:r>
    </w:p>
    <w:p w14:paraId="6392C88B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hev mynde til å taka avgjerd i alle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løpande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driftssaker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innanfor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eige ansvarsområde og som 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delegera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 kommunedirektøren.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11247A7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4 Budsjett og økonomi</w:t>
      </w:r>
    </w:p>
    <w:p w14:paraId="3F7A749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tilvisar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for driftsbudsjettet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innan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eige planområde.</w:t>
      </w:r>
    </w:p>
    <w:p w14:paraId="57D733B2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PNT-sjef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tilvisar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for investeringsbudsjettet med unntak for IKT- utstyr og anna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innan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planområde 1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tilvisast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kommunedirektøren.</w:t>
      </w:r>
    </w:p>
    <w:p w14:paraId="75E71D0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Tilvisningsfullmakt for særskilte prosjekt kan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gjevast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som det høver i den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einskilde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sak.</w:t>
      </w:r>
    </w:p>
    <w:p w14:paraId="3E50E4C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kan omdisponere i budsjettåret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innan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eige planområde så langt Tokke kommune sitt økonomireglement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rekneskapsføresegnene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gram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gjev høve</w:t>
      </w:r>
      <w:proofErr w:type="gram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4065039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5 Delegering til kommunalsjef i personalsaker</w:t>
      </w:r>
    </w:p>
    <w:p w14:paraId="7E4800F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utøver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arbeidsgjevar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sin styringsrett og styringsplikt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delegeringsreglementet for Tokke kommune kap. 9.</w:t>
      </w:r>
    </w:p>
    <w:p w14:paraId="2B59CB4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gjev permisjon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tråd med permisjonsreglement og avtaleverk.</w:t>
      </w:r>
    </w:p>
    <w:p w14:paraId="2ED89B5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kan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tilsetje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vikariat og i mellombels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stillingar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samt konstituere i ledige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stillingar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inntil 6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månader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men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innanfor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budsjettet sine rammer.</w:t>
      </w:r>
    </w:p>
    <w:p w14:paraId="46CC410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Løns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- og arbeidsvilkår som 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avvikande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fra Tokke kommune sine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vanlege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vilkår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innanfor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samanliknbare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stillingar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ligg til kommunaldirektøren å taka avgjerd om.</w:t>
      </w:r>
    </w:p>
    <w:p w14:paraId="24E897D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avvikling av ferie for eigne tilsette.</w:t>
      </w:r>
    </w:p>
    <w:p w14:paraId="0A16FB11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tek avgjerd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arbeidsgjevarfinansiert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elektronisk kommunikasjon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reglement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innanfor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eige budsjett.</w:t>
      </w:r>
    </w:p>
    <w:p w14:paraId="2EAA5F5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lastRenderedPageBreak/>
        <w:t xml:space="preserve">Kommunalsjef tek avgjerd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påskjønning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eigne tilsette i tråd med kommunens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gåvereglement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591968B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3ED3574D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4CC8F37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§ 6 Innstilling for politiske </w:t>
      </w:r>
      <w:proofErr w:type="spellStart"/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utval</w:t>
      </w:r>
      <w:proofErr w:type="spellEnd"/>
    </w:p>
    <w:p w14:paraId="543236C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Kommunalsjef innstiller på vegne av kommunedirektøren i saker der eige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hovudutval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samt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utval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underlagt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vedkommande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hovudutval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endeleg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256BB8B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§ 7 Særskilt delegering til </w:t>
      </w:r>
      <w:proofErr w:type="spellStart"/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stedfortredar</w:t>
      </w:r>
      <w:proofErr w:type="spellEnd"/>
    </w:p>
    <w:p w14:paraId="3099670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Kommunedirektøren kan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utnemne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stedfortredar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som har generell fullmakt til å skrive under og tilvise i kommunedirektøren sitt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fråvær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og møter på vegne av kommunedirektøren i kommunestyret, formannskapet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administrasjonsutval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om kommunedirektøren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sjølv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møter.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0812FDC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8 Særskilt delegering til organisasjonssjef</w:t>
      </w:r>
    </w:p>
    <w:p w14:paraId="5B9F24B1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Organisasjonssjef har fullmakt til å skrive under og tilvise i kommunedirektøren sitt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fråvær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034F933D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Organisasjonssjef møter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tilsetjingsutvalet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på vegne av kommunedirektøren - kommunalsjefens tilråding skal normalt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leggjast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 grunn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arbeidsgjevars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syn.</w:t>
      </w:r>
    </w:p>
    <w:p w14:paraId="1ED0451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Organisasjonssjef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handsamar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permisjonar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tråd med permisjonsreglementet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dei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delegert til kommunalsjef.</w:t>
      </w:r>
    </w:p>
    <w:p w14:paraId="36F6F9C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Organisasjonssjef tek avgjerd i spørsmål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lønsansiennitet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3BD8BB7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Personalsjef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disponerar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kommunale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bustader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tek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avgjerd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utleige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vilkår.</w:t>
      </w:r>
    </w:p>
    <w:p w14:paraId="049C368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Organisasjonssjef godkjenner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godtgjersle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for tapt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arbeidsforteneste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for kommunale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tillitsvalde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77E45CF0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0ECE4E1D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9 Særskilt delegering til økonomisjef</w:t>
      </w:r>
    </w:p>
    <w:p w14:paraId="1B9769C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Økonomisjef innstiller til og møter på vegne av kommunedirektøren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takstutvalet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1AC2D150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Økonomisjef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delegerast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fråfalle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pant eller prioritet i mindre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parsellar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når det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fører med seg tapsrisiko for kommunen.</w:t>
      </w:r>
    </w:p>
    <w:p w14:paraId="3EE4BCD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Økonomisjef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forvaltar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kommunen sine økonomiske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midlar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på vegne av kommunedirektøren.</w:t>
      </w:r>
    </w:p>
    <w:p w14:paraId="682E12B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4A92068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10 Særskilt delegering til kommunalsjef i teknisk (teknisk-sjef)</w:t>
      </w:r>
    </w:p>
    <w:p w14:paraId="5F11140D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Teknisk-sjef har fullmakt til å:</w:t>
      </w:r>
    </w:p>
    <w:p w14:paraId="2D3B1A9B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4F7864A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27. juni 2008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71. Plan og bygningslova.</w:t>
      </w:r>
    </w:p>
    <w:p w14:paraId="58BA4B4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Kommunens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prinsipielle, og som det etter lova er høve til å delegere til administrasjonen.</w:t>
      </w:r>
    </w:p>
    <w:p w14:paraId="7DE7099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21. juni 1963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23. Veglova.</w:t>
      </w:r>
    </w:p>
    <w:p w14:paraId="23677FB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Mynda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som vegstyresmakt etter § 9, 3. ledd blir delegert Teknisk-sjef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549B0FDB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18. juni 1965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4. Vegtrafikklova med føresegner.</w:t>
      </w:r>
    </w:p>
    <w:p w14:paraId="5BBC1AE0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Fullmakt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etter § 7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trafikkforbod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m.m. blir delegert til teknisk-sjef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5A5FE6C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lastRenderedPageBreak/>
        <w:t xml:space="preserve">Mynde som skiltmakt og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fråsegn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FOR 2005-10-07,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1219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offentlege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trafikkskilt, blir delegert til Teknisk-sjef.</w:t>
      </w:r>
    </w:p>
    <w:p w14:paraId="2C26481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13. mars 1981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6.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Forureiningslova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med føresegner.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   </w:t>
      </w:r>
    </w:p>
    <w:p w14:paraId="53A8CA10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Teknisk-sjef blir med heimel i § 83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delegera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enkeltvedtak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dei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høve som er omhandla i §§ 22, 23, 24 og 26, 5. ledd.  </w:t>
      </w:r>
    </w:p>
    <w:p w14:paraId="0D5C9FA2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Teknisk-sjef kan etter søknad frita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eigedomar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frå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renovasjonsordninga –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§ 30, 2.1edd.</w:t>
      </w:r>
    </w:p>
    <w:p w14:paraId="3564B8D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Mynda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kommunen har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etter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Forureiningsforskrifta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(FOR 2004-06-01,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931) blir delegert teknisk-sjef.</w:t>
      </w:r>
    </w:p>
    <w:p w14:paraId="741398F2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14. juni 2002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20 om brann og eksplosjonsvern.</w:t>
      </w:r>
    </w:p>
    <w:p w14:paraId="2EDF666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Mynda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som kommunen har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blir delegert teknisk-sjef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 og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lagt til Vest-Telemark Interkommunale Brannvesen (IKS).</w:t>
      </w:r>
    </w:p>
    <w:p w14:paraId="4B67C22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66901201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bookmarkStart w:id="0" w:name="_Hlk144909856"/>
      <w:r w:rsidRPr="00EE493D">
        <w:rPr>
          <w:rFonts w:ascii="Verdana" w:eastAsia="Times New Roman" w:hAnsi="Verdana" w:cs="Times New Roman"/>
          <w:b/>
          <w:bCs/>
          <w:color w:val="223946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11 Særskilt delegering til kommunalsjef i plan- næring og kultur (PNK-sjef)</w:t>
      </w:r>
      <w:bookmarkEnd w:id="0"/>
    </w:p>
    <w:p w14:paraId="400FA74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Kommunalsjef har fullmakt til å:</w:t>
      </w:r>
    </w:p>
    <w:p w14:paraId="33910C63" w14:textId="77777777" w:rsidR="00EE493D" w:rsidRPr="00EE493D" w:rsidRDefault="00EE493D" w:rsidP="00EE493D">
      <w:pPr>
        <w:numPr>
          <w:ilvl w:val="0"/>
          <w:numId w:val="1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Avgjere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søknader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tilskot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som gjeld eige planområde (4) til bygging av bustadhus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spreidd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område, vøling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eldrebustader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private vass- og kloakkanlegg, rasutgreiing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m.m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, på vilkår fastsett av kommunestyret.</w:t>
      </w:r>
    </w:p>
    <w:p w14:paraId="5E94F147" w14:textId="77777777" w:rsidR="00EE493D" w:rsidRPr="00EE493D" w:rsidRDefault="00EE493D" w:rsidP="00EE493D">
      <w:pPr>
        <w:numPr>
          <w:ilvl w:val="0"/>
          <w:numId w:val="2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Selje bustadtomter i kommunale bustadfelt samt feste bort og selje hyttetomter.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12F91D4B" w14:textId="77777777" w:rsidR="00EE493D" w:rsidRPr="00EE493D" w:rsidRDefault="00EE493D" w:rsidP="00EE493D">
      <w:pPr>
        <w:numPr>
          <w:ilvl w:val="0"/>
          <w:numId w:val="2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Ta avgjerd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mellombels bruk av kommunal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eigedom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grunn til utstillingsplass, parkeringsplass, hogging av ved, rydding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m.v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79E57A51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23.mai 1997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31 om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eigarseksjonar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(eierseksjonsloven).</w:t>
      </w:r>
    </w:p>
    <w:p w14:paraId="73927ED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Teknisk-sjef blir delegert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lova.</w:t>
      </w:r>
    </w:p>
    <w:p w14:paraId="5619036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16. juni 1961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15 om rettshøve mellom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grannar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18A465A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Teknisk-sjef har fullmakt til å opptre på vegne av kommunen i grannetilhøve.</w:t>
      </w:r>
    </w:p>
    <w:p w14:paraId="75DC8C5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Lov av 10 juni 1977 Nr. 82 om motorisert ferdsel i utmark.</w:t>
      </w:r>
    </w:p>
    <w:p w14:paraId="2900A2D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Søknader om løyve til bruk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snoskuter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samsvar med vilkår fastsett av kommunestyret og LMT, samt søknader om anna bruk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motorkøyrety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-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§ 6.</w:t>
      </w:r>
    </w:p>
    <w:p w14:paraId="18733B91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28 nov 2003 Nr. 98 om konsesjon ved erverv av fast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eigedom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17C0E50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Kommunen si mynde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5E1EC542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Lov av 12 mai 1995 Nr. 23. Lov om jord (jordlova).</w:t>
      </w:r>
    </w:p>
    <w:p w14:paraId="5D826A0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Kommunen si mynde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6F29EAA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27.mai 2005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31. Lov om skogbruk.</w:t>
      </w:r>
    </w:p>
    <w:p w14:paraId="361BE24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Kommunen si mynde som skogoppsyn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og innstille til fylkeskommunale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statlege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organ,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66C4C74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27. juni 2008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71. Plan og bygningslova.</w:t>
      </w:r>
    </w:p>
    <w:p w14:paraId="261E214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Kommunens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prinsipielle, og som det etter lova er høve til å delegere til administrasjonen.</w:t>
      </w:r>
    </w:p>
    <w:p w14:paraId="6CEF478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17. juni 2005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101 om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eigedomsregistrering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(matrikkellova).</w:t>
      </w:r>
    </w:p>
    <w:p w14:paraId="329802B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lastRenderedPageBreak/>
        <w:t xml:space="preserve">PNK-sjef blir delegert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prinsipielle, og som det etter lova er høve til å delegere til administrasjonen.</w:t>
      </w:r>
    </w:p>
    <w:p w14:paraId="0CAD56A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PNK-sjef møter på vegne av kommunen ved kart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delingsforretningar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70E1867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23.mai 1997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31 om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eigarseksjonar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(eierseksjonsloven).</w:t>
      </w:r>
    </w:p>
    <w:p w14:paraId="16F0D94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PNK-sjef blir delegert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lova.</w:t>
      </w:r>
    </w:p>
    <w:p w14:paraId="30CD36DD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Lov om jakt og fangst av vilt av 2.april 1982 med forskrifter</w:t>
      </w:r>
    </w:p>
    <w:p w14:paraId="4BBE989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PNK-sjef blir delegert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på vegne av kommunen i saker etter viltlova med forskrifter. Dette gjeld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overordna mål for hjorteviltforvaltninga -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hjorteviltforskrifta §3.</w:t>
      </w:r>
    </w:p>
    <w:p w14:paraId="69F0F70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15. mai 1992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47 om laksefisk og innlandsfisk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m.v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5C41B26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Kommunen si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blir delegert PNK-sjef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5F6580E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om forvaltning av naturens mangfold av 19.juni 2009,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naturmangfaldslova</w:t>
      </w:r>
      <w:proofErr w:type="spellEnd"/>
    </w:p>
    <w:p w14:paraId="540F8200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PNK-sjef blir delegert 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løyve til uttak av hjortevilt og bever for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avverje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skade etter § 18 fyrste ledd bokstav b, samt til å fjerne beverbustad eller dam for å hindre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vesentleg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skade.</w:t>
      </w:r>
    </w:p>
    <w:p w14:paraId="71FB108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Forskrift av 4. juli 2003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951 om gjødselvarer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m.v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 av organisk opphav.</w:t>
      </w:r>
    </w:p>
    <w:p w14:paraId="47B6767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Kommunen si mynde til å føre tilsyn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forskrifta blir delegert PNK-sjef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3DEBA8A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16. juni 1961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15 om rettshøve mellom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grannar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14B18D9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PNK-sjef har fullmakt til å opptre på vegne av kommunen i grannetilhøve.</w:t>
      </w:r>
    </w:p>
    <w:p w14:paraId="7A92D1C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28. juni 1957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16 om friluftslivet.</w:t>
      </w:r>
    </w:p>
    <w:p w14:paraId="6D865791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Kommunen si mynde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blir delegert til teknisk-sjef i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55DA502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3342F451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12 Særskilt delegering til Oppvekstsjef</w:t>
      </w:r>
    </w:p>
    <w:p w14:paraId="2AA387B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løyve til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utleige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utlån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skulebygg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 andre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føremål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enn undervisning.</w:t>
      </w:r>
    </w:p>
    <w:p w14:paraId="5E9A4B7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17. juli 1998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61 om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grunnskulen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den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vidaregåande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opplæring:</w:t>
      </w:r>
    </w:p>
    <w:p w14:paraId="604E528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avgjere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 Dette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femner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om godkjenning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søknadar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om å få gå på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annan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skule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enn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nærskulen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–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ordninga med fritt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skuleval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vedtak om ordensreglement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skulen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etter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reglar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gjevne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§ 2-9 og § 2-10.</w:t>
      </w:r>
    </w:p>
    <w:p w14:paraId="37C1ACC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17. juni 2005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64 om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barnehagar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med føresegner:</w:t>
      </w:r>
    </w:p>
    <w:p w14:paraId="1C0E726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avgjere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714711D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4. juli 2003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80 om introduksjonsordning og norskopplæring for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nykomne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innvandrarar</w:t>
      </w:r>
      <w:proofErr w:type="spellEnd"/>
    </w:p>
    <w:p w14:paraId="4E85133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avgjere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prinsipielle.</w:t>
      </w:r>
    </w:p>
    <w:p w14:paraId="623F0D3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29. juni 2007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89 om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offentlege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styresmakters ansvar for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kulturverksemd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:</w:t>
      </w:r>
    </w:p>
    <w:p w14:paraId="27EA7722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Oppvekst- kultur og idrettssjef kan innvilge søknader om støtte til lag,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foreiningar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anna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kulturverksemd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etter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retningsliner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gjeve av Oppvekst-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kulturutvalet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68E914C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50CE6CA2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13 Særskilt delegering til Helse- og omsorgssjef</w:t>
      </w:r>
    </w:p>
    <w:p w14:paraId="1A2A5CF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lastRenderedPageBreak/>
        <w:br/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2.juli 1999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63 om pasient og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brukarrettar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 xml:space="preserve">Helse- og omsorgssjef har delegert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dagleg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ansvar for kommunen sine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oppgåver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etter lova, og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så langt lova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tillet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24. juni 2011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29. Folkehelselova.</w:t>
      </w:r>
    </w:p>
    <w:p w14:paraId="663E4374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Helse- og omsorgssjef har delegert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dagleg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ansvar for folkehelsearbeidet og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så langt lova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tillet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7DAEA86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24. juni 2011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30. Helse- og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omsorgstenestelova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307F93D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Helse- og omsorgssjef blir delegert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dagleg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ansvar for helse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omsorgstenestane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kommunen og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så langt lova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tillet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29588FA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Forskrift av 16.des 2011,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1349 om egenandel for kommunale helse- og omsorgstjenester</w:t>
      </w:r>
    </w:p>
    <w:p w14:paraId="458CCC7E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Helse- og omsorgssjef har fullmakt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samsvar med forskrifta.</w:t>
      </w:r>
    </w:p>
    <w:p w14:paraId="458DE62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Forskrift av 15. mars 1994 om parkering for forflytningshemma.</w:t>
      </w:r>
    </w:p>
    <w:p w14:paraId="6FC31A9D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Helse- og omsorgssjef har fullmakt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i samsvar med forskrifta.</w:t>
      </w:r>
    </w:p>
    <w:p w14:paraId="2AE0FEE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5.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aug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1994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55 om smittevern.</w:t>
      </w:r>
    </w:p>
    <w:p w14:paraId="14A0E11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Helse- og omsorgssjef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peikar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ut kven som til ei kvar tid er smittevernlege og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tek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seg av kommunen sine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oppgåver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§ 7-2.</w:t>
      </w:r>
    </w:p>
    <w:p w14:paraId="7AE7965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§ 14 Særskilt delegering til NAV-</w:t>
      </w:r>
      <w:proofErr w:type="spellStart"/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leiar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 xml:space="preserve">Den mynde som er delegert Kommunedirektøren i Tokke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samarbeidsavtale om NAV Vest-Telemark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delegerast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NAV-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leiar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217EFB18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For Tokke gjeld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fylgjande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delegering:</w:t>
      </w:r>
    </w:p>
    <w:p w14:paraId="1F7394D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18. des 2009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131 om sosiale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tenestar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arbeids- og velferdsforvaltninga.</w:t>
      </w:r>
    </w:p>
    <w:p w14:paraId="3021129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leie og administrere den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mynda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dei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oppgåvene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som kommunen er gjeve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lova kapittel 2, §3.</w:t>
      </w:r>
    </w:p>
    <w:p w14:paraId="7FD3A7B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tildeling av kommunale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tenester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heimla i §17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Opplysning, råd og rettleiing.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tildeling av kommunale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tenester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gram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heimla  i</w:t>
      </w:r>
      <w:proofErr w:type="gram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§18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Stønad til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livsopphald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tildeling av kommunale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tenester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heimla i §19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Stønad i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særleg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tilfelle.</w:t>
      </w:r>
    </w:p>
    <w:p w14:paraId="75D6D8EB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bruk av vilkår for tildeling av økonomisk stønad heimla i §20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Bruk av vilkår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4E4CB8DD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tildeling av kommunale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tenester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heimla i §27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Mellombels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butilbod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705CDC1C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tilbakebetaling av økonomiske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ytingar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heimla i §23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Verknad av at det er gjeve urette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opplysningar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3575189B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inndriving av utbetalte økonomiske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ytingar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heimla i §23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Verknad av at det er gjeve urette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opplysningar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og §24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Inndriving av lån og andre former for dekning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683DC4A7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og til utarbeiding av individuell plan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brukarar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med behov for langvarige og koordinerte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tenester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heimla i §28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Rett til individuell plan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24AE2C69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som underinstans i klagesaker som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ikkje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er av prinsipiell tyding, og i klagesaker der vedtaket er heimla i §§15,18, 19, 20, 23 og 24.</w:t>
      </w:r>
    </w:p>
    <w:p w14:paraId="48EA87A5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lastRenderedPageBreak/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tildeling av kommunale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tenester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heimla i §29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Kvalifiseringsprogram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, § 30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Kvalifiseringsprogrammets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innhald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, §31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Iverksetting av programmet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og §32 </w:t>
      </w: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Programmets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varigheit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.</w:t>
      </w:r>
    </w:p>
    <w:p w14:paraId="68629410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gjere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vedtak om utlevering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opplysningar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 fylkesmannen.</w:t>
      </w:r>
    </w:p>
    <w:p w14:paraId="28D722D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utføre rapportering til SSB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årleg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KOSTRA-rapportering.</w:t>
      </w:r>
    </w:p>
    <w:p w14:paraId="605FB98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utarbeide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verksemdsplan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budsjett,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budsjettrapportar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årsmelding.</w:t>
      </w:r>
    </w:p>
    <w:p w14:paraId="535DC883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4FE21A3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</w:r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§ 15 Særskilt delegering til </w:t>
      </w:r>
      <w:proofErr w:type="spellStart"/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seniorrådgjevar</w:t>
      </w:r>
      <w:proofErr w:type="spellEnd"/>
      <w:r w:rsidRPr="00EE493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kommunedirektørens stab</w:t>
      </w:r>
    </w:p>
    <w:p w14:paraId="3014748B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Fordele stønad til politiske parti etter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reglar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fastsett av kommunestyret.</w:t>
      </w:r>
    </w:p>
    <w:p w14:paraId="1BC7B3B1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Lov av 2. juni 1989 </w:t>
      </w:r>
      <w:proofErr w:type="spellStart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nr</w:t>
      </w:r>
      <w:proofErr w:type="spellEnd"/>
      <w:r w:rsidRPr="00EE493D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27. Alkohollova.</w:t>
      </w:r>
    </w:p>
    <w:p w14:paraId="574553CF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Fullmakt til å:</w:t>
      </w:r>
    </w:p>
    <w:p w14:paraId="19AD031E" w14:textId="77777777" w:rsidR="00EE493D" w:rsidRPr="00EE493D" w:rsidRDefault="00EE493D" w:rsidP="00EE493D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Godkjenne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søknadar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om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ambulerande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skjenkeløyve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§ 4-5 og søknad om skjenkeløyve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enkelt høve § 1-6, samt fastsette vilkår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§ 4-3 og godkjenne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skjenkestyrar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til dette.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1D5D645A" w14:textId="77777777" w:rsidR="00EE493D" w:rsidRPr="00EE493D" w:rsidRDefault="00EE493D" w:rsidP="00EE493D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løyve til utvida skjenketid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einskilde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høve,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§ 4-4, 3.ledd.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22DF8AFE" w14:textId="77777777" w:rsidR="00EE493D" w:rsidRPr="00EE493D" w:rsidRDefault="00EE493D" w:rsidP="00EE493D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Fastsetje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det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årlege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gebyr for løyve til sal og skjenking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alkoholhaldig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drykk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alkoholforskriften § 6-2.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74E3F1E2" w14:textId="77777777" w:rsidR="00EE493D" w:rsidRPr="00EE493D" w:rsidRDefault="00EE493D" w:rsidP="00EE493D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løyve til sal av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alkoholhaldig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drikk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§ 1-6 2.ledd,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einskild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høve.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67C37378" w14:textId="77777777" w:rsidR="00EE493D" w:rsidRPr="00EE493D" w:rsidRDefault="00EE493D" w:rsidP="00EE493D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Gje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utvida løyve til skjenking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utanfor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skjenkelokalet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eit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einskild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høve,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§ 4-2, 4.ledd.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5031B2E9" w14:textId="77777777" w:rsidR="00EE493D" w:rsidRPr="00EE493D" w:rsidRDefault="00EE493D" w:rsidP="00EE493D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Godkjenne ny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løyvehavar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ved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utsalsstad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for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alkoholhaldig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drikk med høgst 4,7 volumprosent alkohol i løyveperioden,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§ 1 7c.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1DA97933" w14:textId="77777777" w:rsidR="00EE493D" w:rsidRPr="00EE493D" w:rsidRDefault="00EE493D" w:rsidP="00EE493D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Godkjenne ny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løyvehavar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skjenkestyrar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stedfortredar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for same skjenkelokale i løyveperioden,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jf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§ 1 7c.</w:t>
      </w: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br/>
        <w:t> </w:t>
      </w:r>
    </w:p>
    <w:p w14:paraId="099B6A3B" w14:textId="77777777" w:rsidR="00EE493D" w:rsidRPr="00EE493D" w:rsidRDefault="00EE493D" w:rsidP="00EE493D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Mynde til å tildele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prikkar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og å inndra sals- og skjenkeløyve i inntil 1 veke i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medhald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av alkoholforskrifta </w:t>
      </w:r>
      <w:proofErr w:type="spellStart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kap</w:t>
      </w:r>
      <w:proofErr w:type="spellEnd"/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 xml:space="preserve"> 10.</w:t>
      </w:r>
    </w:p>
    <w:p w14:paraId="2A46FE9A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00A21106" w14:textId="77777777" w:rsidR="00EE493D" w:rsidRPr="00EE493D" w:rsidRDefault="00EE493D" w:rsidP="00EE493D">
      <w:pPr>
        <w:pBdr>
          <w:bottom w:val="single" w:sz="4" w:space="1" w:color="auto"/>
        </w:pBdr>
        <w:spacing w:after="75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6473B3B2" w14:textId="77777777" w:rsidR="00EE493D" w:rsidRPr="00EE493D" w:rsidRDefault="00EE493D" w:rsidP="00EE493D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</w:pPr>
      <w:r w:rsidRPr="00EE493D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5F5F5"/>
          <w:lang w:val="nb-NO" w:eastAsia="nb-NO"/>
          <w14:ligatures w14:val="none"/>
        </w:rPr>
        <w:t> </w:t>
      </w:r>
    </w:p>
    <w:p w14:paraId="156EFA78" w14:textId="77777777" w:rsidR="00D0650C" w:rsidRDefault="00D0650C" w:rsidP="00EE493D">
      <w:pPr>
        <w:pBdr>
          <w:bottom w:val="single" w:sz="4" w:space="1" w:color="auto"/>
        </w:pBdr>
      </w:pPr>
    </w:p>
    <w:sectPr w:rsidR="00D0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7F7"/>
    <w:multiLevelType w:val="multilevel"/>
    <w:tmpl w:val="8F22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C604E"/>
    <w:multiLevelType w:val="multilevel"/>
    <w:tmpl w:val="A3E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B9065F"/>
    <w:multiLevelType w:val="multilevel"/>
    <w:tmpl w:val="2448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15700">
    <w:abstractNumId w:val="1"/>
  </w:num>
  <w:num w:numId="2" w16cid:durableId="376970915">
    <w:abstractNumId w:val="2"/>
  </w:num>
  <w:num w:numId="3" w16cid:durableId="24970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3D"/>
    <w:rsid w:val="00206154"/>
    <w:rsid w:val="00606A32"/>
    <w:rsid w:val="00D0650C"/>
    <w:rsid w:val="00E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A5E5"/>
  <w15:chartTrackingRefBased/>
  <w15:docId w15:val="{2D908A4F-6133-4BEC-9284-E868EDF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link w:val="Overskrift1Teikn"/>
    <w:uiPriority w:val="9"/>
    <w:qFormat/>
    <w:rsid w:val="00EE4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b-NO" w:eastAsia="nb-NO"/>
      <w14:ligatures w14:val="none"/>
    </w:rPr>
  </w:style>
  <w:style w:type="paragraph" w:styleId="Overskrift3">
    <w:name w:val="heading 3"/>
    <w:basedOn w:val="Normal"/>
    <w:link w:val="Overskrift3Teikn"/>
    <w:uiPriority w:val="9"/>
    <w:qFormat/>
    <w:rsid w:val="00EE4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nb-NO"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EE493D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  <w14:ligatures w14:val="none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EE493D"/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customStyle="1" w:styleId="menuxmaster">
    <w:name w:val="menuxmaster"/>
    <w:basedOn w:val="Standardskriftforavsnitt"/>
    <w:rsid w:val="00EE493D"/>
  </w:style>
  <w:style w:type="character" w:styleId="Hyperkopling">
    <w:name w:val="Hyperlink"/>
    <w:basedOn w:val="Standardskriftforavsnitt"/>
    <w:uiPriority w:val="99"/>
    <w:semiHidden/>
    <w:unhideWhenUsed/>
    <w:rsid w:val="00EE493D"/>
    <w:rPr>
      <w:color w:val="0000FF"/>
      <w:u w:val="single"/>
    </w:rPr>
  </w:style>
  <w:style w:type="character" w:customStyle="1" w:styleId="menux">
    <w:name w:val="menux"/>
    <w:basedOn w:val="Standardskriftforavsnitt"/>
    <w:rsid w:val="00EE493D"/>
  </w:style>
  <w:style w:type="character" w:customStyle="1" w:styleId="mxtopgroup">
    <w:name w:val="mxtopgroup"/>
    <w:basedOn w:val="Standardskriftforavsnitt"/>
    <w:rsid w:val="00EE493D"/>
  </w:style>
  <w:style w:type="character" w:customStyle="1" w:styleId="xmaingroup">
    <w:name w:val="xmaingroup"/>
    <w:basedOn w:val="Standardskriftforavsnitt"/>
    <w:rsid w:val="00EE493D"/>
  </w:style>
  <w:style w:type="character" w:customStyle="1" w:styleId="xmlbl">
    <w:name w:val="xmlbl"/>
    <w:basedOn w:val="Standardskriftforavsnitt"/>
    <w:rsid w:val="00EE493D"/>
  </w:style>
  <w:style w:type="character" w:customStyle="1" w:styleId="mxcount">
    <w:name w:val="mxcount"/>
    <w:basedOn w:val="Standardskriftforavsnitt"/>
    <w:rsid w:val="00EE493D"/>
  </w:style>
  <w:style w:type="character" w:customStyle="1" w:styleId="menuxhomelbl">
    <w:name w:val="menuxhomelbl"/>
    <w:basedOn w:val="Standardskriftforavsnitt"/>
    <w:rsid w:val="00EE493D"/>
  </w:style>
  <w:style w:type="character" w:customStyle="1" w:styleId="menuxprofilelbl">
    <w:name w:val="menuxprofilelbl"/>
    <w:basedOn w:val="Standardskriftforavsnitt"/>
    <w:rsid w:val="00EE493D"/>
  </w:style>
  <w:style w:type="character" w:customStyle="1" w:styleId="myname">
    <w:name w:val="myname"/>
    <w:basedOn w:val="Standardskriftforavsnitt"/>
    <w:rsid w:val="00EE493D"/>
  </w:style>
  <w:style w:type="character" w:customStyle="1" w:styleId="docpathxcf">
    <w:name w:val="docpathxcf"/>
    <w:basedOn w:val="Standardskriftforavsnitt"/>
    <w:rsid w:val="00EE493D"/>
  </w:style>
  <w:style w:type="character" w:customStyle="1" w:styleId="itpcell">
    <w:name w:val="itpcell"/>
    <w:basedOn w:val="Standardskriftforavsnitt"/>
    <w:rsid w:val="00EE493D"/>
  </w:style>
  <w:style w:type="character" w:customStyle="1" w:styleId="docvselectorwc">
    <w:name w:val="docvselectorwc"/>
    <w:basedOn w:val="Standardskriftforavsnitt"/>
    <w:rsid w:val="00EE493D"/>
  </w:style>
  <w:style w:type="character" w:customStyle="1" w:styleId="shmetaw">
    <w:name w:val="shmetaw"/>
    <w:basedOn w:val="Standardskriftforavsnitt"/>
    <w:rsid w:val="00EE493D"/>
  </w:style>
  <w:style w:type="paragraph" w:styleId="NormalWeb">
    <w:name w:val="Normal (Web)"/>
    <w:basedOn w:val="Normal"/>
    <w:uiPriority w:val="99"/>
    <w:semiHidden/>
    <w:unhideWhenUsed/>
    <w:rsid w:val="00EE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EE493D"/>
    <w:rPr>
      <w:b/>
      <w:bCs/>
    </w:rPr>
  </w:style>
  <w:style w:type="character" w:styleId="Utheving">
    <w:name w:val="Emphasis"/>
    <w:basedOn w:val="Standardskriftforavsnitt"/>
    <w:uiPriority w:val="20"/>
    <w:qFormat/>
    <w:rsid w:val="00EE4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7359">
                  <w:marLeft w:val="0"/>
                  <w:marRight w:val="0"/>
                  <w:marTop w:val="0"/>
                  <w:marBottom w:val="0"/>
                  <w:divBdr>
                    <w:top w:val="single" w:sz="18" w:space="0" w:color="30A68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99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7903">
                  <w:marLeft w:val="0"/>
                  <w:marRight w:val="0"/>
                  <w:marTop w:val="9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2590</Words>
  <Characters>13730</Characters>
  <Application>Microsoft Office Word</Application>
  <DocSecurity>0</DocSecurity>
  <Lines>114</Lines>
  <Paragraphs>32</Paragraphs>
  <ScaleCrop>false</ScaleCrop>
  <Company>VTDS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Rattfelt</dc:creator>
  <cp:keywords/>
  <dc:description/>
  <cp:lastModifiedBy>Anette Rattfelt</cp:lastModifiedBy>
  <cp:revision>1</cp:revision>
  <dcterms:created xsi:type="dcterms:W3CDTF">2024-02-14T09:33:00Z</dcterms:created>
  <dcterms:modified xsi:type="dcterms:W3CDTF">2024-02-14T09:38:00Z</dcterms:modified>
</cp:coreProperties>
</file>